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42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附件2：</w:t>
      </w:r>
    </w:p>
    <w:p>
      <w:pPr>
        <w:ind w:right="-296" w:rightChars="-141"/>
        <w:jc w:val="both"/>
        <w:rPr>
          <w:rFonts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right="-296" w:rightChars="-141"/>
        <w:jc w:val="center"/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“亚足联女足日”女孩足球节</w:t>
      </w:r>
      <w:bookmarkStart w:id="0" w:name="_GoBack"/>
      <w:bookmarkEnd w:id="0"/>
    </w:p>
    <w:p>
      <w:pPr>
        <w:ind w:right="-296" w:rightChars="-141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活动执行方案</w:t>
      </w:r>
      <w:r>
        <w:rPr>
          <w:rFonts w:hint="eastAsia" w:ascii="宋体" w:hAnsi="宋体" w:cs="宋体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示例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）</w:t>
      </w:r>
    </w:p>
    <w:p>
      <w:pPr>
        <w:spacing w:line="500" w:lineRule="exact"/>
        <w:ind w:right="-296" w:rightChars="-141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500" w:lineRule="exact"/>
        <w:ind w:right="-296" w:rightChars="-141"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活动背景：</w:t>
      </w:r>
    </w:p>
    <w:p>
      <w:pPr>
        <w:spacing w:line="500" w:lineRule="exact"/>
        <w:ind w:right="-296" w:rightChars="-141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为响应亚足联每年3月8日确定的“亚足联女足日”和中国足协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年女足青训工作计划，结合年度工作安排，宁夏足协举办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年“亚足联女足日”女孩足球节活动。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具体活动安排如下：</w:t>
      </w:r>
    </w:p>
    <w:p>
      <w:pPr>
        <w:pStyle w:val="6"/>
        <w:numPr>
          <w:ilvl w:val="0"/>
          <w:numId w:val="1"/>
        </w:numPr>
        <w:spacing w:line="500" w:lineRule="exact"/>
        <w:ind w:right="-296" w:rightChars="-141"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活动时间</w:t>
      </w:r>
    </w:p>
    <w:p>
      <w:pPr>
        <w:pStyle w:val="6"/>
        <w:spacing w:line="500" w:lineRule="exact"/>
        <w:ind w:left="720" w:right="-296" w:rightChars="-141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:00-</w:t>
      </w: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 xml:space="preserve">:00 </w:t>
      </w:r>
    </w:p>
    <w:p>
      <w:pPr>
        <w:pStyle w:val="6"/>
        <w:numPr>
          <w:ilvl w:val="0"/>
          <w:numId w:val="1"/>
        </w:numPr>
        <w:spacing w:line="500" w:lineRule="exact"/>
        <w:ind w:right="-296" w:rightChars="-141"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活动组织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主办单位：亚洲足球联合会、中国足球协会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承办单位：宁夏足球协会</w:t>
      </w:r>
    </w:p>
    <w:p>
      <w:pPr>
        <w:spacing w:line="500" w:lineRule="exact"/>
        <w:ind w:right="-296" w:rightChars="-14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协办单位：吴忠市文化旅游体育广电局、吴忠市教育局、吴忠市体育中心、吴忠市足球协会、利通区教育局、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利通区体育中心、</w:t>
      </w:r>
      <w:r>
        <w:rPr>
          <w:rFonts w:hint="eastAsia" w:ascii="仿宋" w:hAnsi="仿宋" w:eastAsia="仿宋" w:cs="仿宋"/>
          <w:sz w:val="32"/>
          <w:szCs w:val="32"/>
        </w:rPr>
        <w:t>吴忠市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第十六小学</w:t>
      </w:r>
    </w:p>
    <w:p>
      <w:pPr>
        <w:pStyle w:val="6"/>
        <w:numPr>
          <w:ilvl w:val="0"/>
          <w:numId w:val="1"/>
        </w:numPr>
        <w:spacing w:line="500" w:lineRule="exact"/>
        <w:ind w:right="-296" w:rightChars="-141" w:firstLineChars="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参加人员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（一）自治区教育局、体育总会领导；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（二）宁夏足球协会领导；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（三）吴忠市体育局、教育局领导；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（四）吴忠市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第十六小学</w:t>
      </w:r>
      <w:r>
        <w:rPr>
          <w:rFonts w:hint="eastAsia" w:ascii="仿宋" w:hAnsi="仿宋" w:eastAsia="仿宋" w:cs="仿宋"/>
          <w:sz w:val="32"/>
          <w:szCs w:val="32"/>
        </w:rPr>
        <w:t>（校长）；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（五）吴忠市足协领导；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）足球教练员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6名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领队（学校教师）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</w:rPr>
        <w:t>）在校学生及社会招募女子足球爱好者120名；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）医疗工作人员；</w:t>
      </w:r>
    </w:p>
    <w:p>
      <w:pPr>
        <w:spacing w:line="500" w:lineRule="exact"/>
        <w:ind w:right="-296" w:rightChars="-14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）媒体工作人员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00" w:lineRule="exact"/>
        <w:ind w:right="-296" w:rightChars="-141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</w:rPr>
        <w:t>、主要活动内容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（一）介绍嘉宾、宣布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年“亚足联女足日”女孩足球节活动宁夏站开幕；</w:t>
      </w:r>
    </w:p>
    <w:p>
      <w:pPr>
        <w:spacing w:line="500" w:lineRule="exact"/>
        <w:ind w:right="-296" w:rightChars="-14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（二）开幕式表演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00" w:lineRule="exact"/>
        <w:ind w:right="-296" w:rightChars="-141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（三）足球趣味游戏和足球对抗比赛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（四）领导、嘉宾与工作人员、学生、家长集体合影留念，宣布足球节活动闭幕。</w:t>
      </w:r>
    </w:p>
    <w:p>
      <w:pPr>
        <w:spacing w:line="500" w:lineRule="exact"/>
        <w:ind w:right="-296" w:rightChars="-141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</w:rPr>
        <w:t>、活动流程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:00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领导致辞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:10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足球节指导员代表致词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:13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足球节女孩代表致词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:15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嘉宾宣布活动开幕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>:</w:t>
      </w:r>
      <w:r>
        <w:rPr>
          <w:rFonts w:ascii="仿宋" w:hAnsi="仿宋" w:eastAsia="仿宋" w:cs="仿宋"/>
          <w:b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5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开幕式表演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32"/>
          <w:szCs w:val="32"/>
        </w:rPr>
        <w:t>: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sz w:val="32"/>
          <w:szCs w:val="32"/>
        </w:rPr>
        <w:t>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活动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</w:t>
      </w:r>
      <w:r>
        <w:rPr>
          <w:rFonts w:ascii="仿宋" w:hAnsi="仿宋" w:eastAsia="仿宋" w:cs="仿宋"/>
          <w:b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:00 领导、嘉宾、足球指导员、孩子们合影</w:t>
      </w:r>
    </w:p>
    <w:p>
      <w:pPr>
        <w:spacing w:line="500" w:lineRule="exact"/>
        <w:ind w:right="-296" w:rightChars="-141" w:firstLine="321" w:firstLineChars="1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</w:t>
      </w:r>
      <w:r>
        <w:rPr>
          <w:rFonts w:ascii="仿宋" w:hAnsi="仿宋" w:eastAsia="仿宋" w:cs="仿宋"/>
          <w:b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:10  活动结束</w:t>
      </w:r>
    </w:p>
    <w:p>
      <w:pPr>
        <w:spacing w:line="500" w:lineRule="exact"/>
        <w:ind w:right="-296" w:rightChars="-141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</w:rPr>
        <w:t>、会场布置</w:t>
      </w:r>
    </w:p>
    <w:p>
      <w:pPr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（一）游戏和比赛活动安排示意图：</w:t>
      </w:r>
    </w:p>
    <w:p>
      <w:pPr>
        <w:ind w:right="-296" w:rightChars="-1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3735705" cy="1982470"/>
            <wp:effectExtent l="0" t="0" r="17145" b="17780"/>
            <wp:docPr id="1" name="图片 1" descr="68178736965507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817873696550736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296" w:rightChars="-141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足球游戏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1：翻山越岭、2：我是球星、3：足球快递、4火力全开、5球星球感。（具体执行由教练组负责人现场与教练员沟通）。</w:t>
      </w:r>
    </w:p>
    <w:p>
      <w:pPr>
        <w:ind w:right="-296" w:rightChars="-141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b/>
          <w:sz w:val="32"/>
          <w:szCs w:val="32"/>
        </w:rPr>
        <w:t>、足球节活动器材</w:t>
      </w:r>
    </w:p>
    <w:tbl>
      <w:tblPr>
        <w:tblStyle w:val="4"/>
        <w:tblW w:w="0" w:type="auto"/>
        <w:tblInd w:w="-6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510"/>
        <w:gridCol w:w="2355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所用区域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足球训练衫（4种颜色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4色各</w:t>
            </w:r>
            <w:r>
              <w:rPr>
                <w:rFonts w:ascii="仿宋" w:hAnsi="仿宋" w:eastAsia="仿宋" w:cs="仿宋"/>
                <w:sz w:val="32"/>
                <w:szCs w:val="32"/>
              </w:rPr>
              <w:t>30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件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所有区域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标志盘（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种颜色）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所有区域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标志杆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标志桶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体能圈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8个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足球（4#）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  <w:r>
              <w:rPr>
                <w:rFonts w:ascii="仿宋" w:hAnsi="仿宋" w:eastAsia="仿宋" w:cs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所有区域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软梯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2个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游戏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小球门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2对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比赛区域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饮用水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120瓶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所有区域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ind w:right="-296" w:rightChars="-141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510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记号笔</w:t>
            </w:r>
          </w:p>
        </w:tc>
        <w:tc>
          <w:tcPr>
            <w:tcW w:w="2355" w:type="dxa"/>
            <w:vAlign w:val="center"/>
          </w:tcPr>
          <w:p>
            <w:pPr>
              <w:ind w:right="-296" w:rightChars="-141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4支</w:t>
            </w:r>
          </w:p>
        </w:tc>
        <w:tc>
          <w:tcPr>
            <w:tcW w:w="2440" w:type="dxa"/>
            <w:vAlign w:val="center"/>
          </w:tcPr>
          <w:p>
            <w:pPr>
              <w:ind w:right="-296" w:rightChars="-141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所有区域</w:t>
            </w:r>
          </w:p>
        </w:tc>
      </w:tr>
    </w:tbl>
    <w:p>
      <w:pPr>
        <w:spacing w:line="500" w:lineRule="exact"/>
        <w:ind w:right="-296" w:rightChars="-141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以上器材数量按照实际需求准备。</w:t>
      </w:r>
    </w:p>
    <w:p>
      <w:pPr>
        <w:numPr>
          <w:ilvl w:val="0"/>
          <w:numId w:val="0"/>
        </w:numPr>
        <w:spacing w:line="500" w:lineRule="exact"/>
        <w:ind w:right="-296" w:rightChars="-141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九、执行负责人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00" w:lineRule="exact"/>
        <w:ind w:right="-296" w:rightChars="-141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教练组负责人：</w:t>
      </w:r>
    </w:p>
    <w:p>
      <w:pPr>
        <w:spacing w:line="500" w:lineRule="exact"/>
        <w:ind w:right="-296" w:rightChars="-141" w:firstLine="640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教练安排：</w:t>
      </w:r>
    </w:p>
    <w:p>
      <w:pPr>
        <w:spacing w:line="500" w:lineRule="exact"/>
        <w:ind w:right="-296" w:rightChars="-141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策划、宣传：</w:t>
      </w:r>
    </w:p>
    <w:p>
      <w:pPr>
        <w:spacing w:line="500" w:lineRule="exact"/>
        <w:ind w:right="-296" w:rightChars="-141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场地及工作人员安排：</w:t>
      </w:r>
    </w:p>
    <w:p>
      <w:pPr>
        <w:numPr>
          <w:ilvl w:val="0"/>
          <w:numId w:val="0"/>
        </w:numPr>
        <w:spacing w:line="500" w:lineRule="exact"/>
        <w:ind w:right="-296" w:rightChars="-141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/>
          <w:sz w:val="32"/>
          <w:szCs w:val="32"/>
        </w:rPr>
        <w:t>宣传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（一）协调当地新闻媒体进行宣传报道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（二）在宁夏体育局、宁夏教育厅、宁夏足球协会，各大主流媒体平台进行宣传。</w:t>
      </w:r>
    </w:p>
    <w:p>
      <w:pPr>
        <w:spacing w:line="500" w:lineRule="exact"/>
        <w:ind w:right="-296" w:rightChars="-141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十一、</w:t>
      </w:r>
      <w:r>
        <w:rPr>
          <w:rFonts w:hint="eastAsia" w:ascii="黑体" w:hAnsi="黑体" w:eastAsia="黑体" w:cs="黑体"/>
          <w:b/>
          <w:sz w:val="32"/>
          <w:szCs w:val="32"/>
        </w:rPr>
        <w:t>安全要求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（一）活动场地医疗人员配备急救医药箱。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（二）活动场地内配备学生饮用水，家长饮用水，工作人员饮用水。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（三）协调员、足球指导员及其他工作人员各负其责，确保学生和参加人员安全。</w:t>
      </w:r>
    </w:p>
    <w:p>
      <w:pPr>
        <w:spacing w:line="500" w:lineRule="exact"/>
        <w:ind w:right="-296" w:rightChars="-14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（四）参与人员需购有相关人身意外保险。</w:t>
      </w:r>
    </w:p>
    <w:p>
      <w:pPr>
        <w:ind w:right="-296" w:rightChars="-141"/>
        <w:rPr>
          <w:rFonts w:ascii="仿宋" w:hAnsi="仿宋" w:eastAsia="仿宋" w:cs="仿宋"/>
          <w:sz w:val="32"/>
          <w:szCs w:val="32"/>
        </w:rPr>
      </w:pPr>
    </w:p>
    <w:p>
      <w:pPr>
        <w:ind w:right="-296" w:rightChars="-141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right="-296" w:rightChars="-141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right="-296" w:rightChars="-141"/>
        <w:rPr>
          <w:rFonts w:hint="eastAsia" w:ascii="仿宋" w:hAnsi="仿宋" w:eastAsia="仿宋" w:cs="仿宋"/>
          <w:sz w:val="32"/>
          <w:szCs w:val="32"/>
        </w:rPr>
      </w:pPr>
    </w:p>
    <w:p>
      <w:pPr>
        <w:ind w:right="-296" w:rightChars="-141" w:firstLine="6080" w:firstLineChars="19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宁夏足球协会</w:t>
      </w:r>
    </w:p>
    <w:p>
      <w:pPr>
        <w:ind w:right="-296" w:rightChars="-141"/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6013270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0D51"/>
    <w:multiLevelType w:val="multilevel"/>
    <w:tmpl w:val="3C670D5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00D37"/>
    <w:rsid w:val="069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2022-02-28T09:33:00Z</dcterms:created>
  <dc:creator>seca</dc:creator>
  <cp:lastModifiedBy>seca</cp:lastModifiedBy>
  <dcterms:modified xsi:type="dcterms:W3CDTF">2022-02-28T09:34:34Z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9A504FE5BFBE478C82E47B2F1ECCCD14</vt:lpwstr>
  </property>
</Properties>
</file>